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4359"/>
        <w:gridCol w:w="3827"/>
        <w:gridCol w:w="3563"/>
        <w:gridCol w:w="1789"/>
      </w:tblGrid>
      <w:tr w:rsidR="007E5D6A" w:rsidRPr="00F94167" w14:paraId="3472ACDC" w14:textId="77777777" w:rsidTr="00A01175">
        <w:tc>
          <w:tcPr>
            <w:tcW w:w="0" w:type="auto"/>
            <w:gridSpan w:val="5"/>
          </w:tcPr>
          <w:p w14:paraId="0B78CD8F" w14:textId="77777777" w:rsidR="007E5D6A" w:rsidRPr="00F94167" w:rsidRDefault="007E5D6A" w:rsidP="00A01175">
            <w:pPr>
              <w:jc w:val="center"/>
              <w:rPr>
                <w:b/>
                <w:bCs/>
                <w:szCs w:val="24"/>
              </w:rPr>
            </w:pPr>
            <w:r w:rsidRPr="00F94167">
              <w:rPr>
                <w:szCs w:val="24"/>
              </w:rPr>
              <w:br w:type="page"/>
            </w:r>
            <w:r w:rsidRPr="00F94167">
              <w:rPr>
                <w:b/>
                <w:bCs/>
                <w:szCs w:val="24"/>
              </w:rPr>
              <w:t>2019 YILINA AİT YAYINLAR</w:t>
            </w:r>
          </w:p>
        </w:tc>
      </w:tr>
      <w:tr w:rsidR="007E5D6A" w:rsidRPr="00F94167" w14:paraId="743B799B" w14:textId="77777777" w:rsidTr="00A01175">
        <w:tc>
          <w:tcPr>
            <w:tcW w:w="8642" w:type="dxa"/>
            <w:gridSpan w:val="3"/>
          </w:tcPr>
          <w:p w14:paraId="2E5E3975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ULUSLARARASI YAYINLAR</w:t>
            </w:r>
          </w:p>
        </w:tc>
        <w:tc>
          <w:tcPr>
            <w:tcW w:w="5352" w:type="dxa"/>
            <w:gridSpan w:val="2"/>
          </w:tcPr>
          <w:p w14:paraId="6FCF068E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ULUSAL YAYINLAR</w:t>
            </w:r>
          </w:p>
        </w:tc>
      </w:tr>
      <w:tr w:rsidR="007E5D6A" w:rsidRPr="00F94167" w14:paraId="7921AC2E" w14:textId="77777777" w:rsidTr="00A01175">
        <w:tc>
          <w:tcPr>
            <w:tcW w:w="4815" w:type="dxa"/>
            <w:gridSpan w:val="2"/>
          </w:tcPr>
          <w:p w14:paraId="28B5319C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MAKALE</w:t>
            </w:r>
          </w:p>
        </w:tc>
        <w:tc>
          <w:tcPr>
            <w:tcW w:w="3827" w:type="dxa"/>
          </w:tcPr>
          <w:p w14:paraId="4A3D02B7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BİLDİRİ</w:t>
            </w:r>
          </w:p>
        </w:tc>
        <w:tc>
          <w:tcPr>
            <w:tcW w:w="3563" w:type="dxa"/>
          </w:tcPr>
          <w:p w14:paraId="219E068A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MAKALE</w:t>
            </w:r>
          </w:p>
        </w:tc>
        <w:tc>
          <w:tcPr>
            <w:tcW w:w="1789" w:type="dxa"/>
          </w:tcPr>
          <w:p w14:paraId="466DB0BA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BİLDİRİ</w:t>
            </w:r>
          </w:p>
        </w:tc>
      </w:tr>
      <w:tr w:rsidR="007E5D6A" w:rsidRPr="00F94167" w14:paraId="5424BB15" w14:textId="77777777" w:rsidTr="00A01175">
        <w:tc>
          <w:tcPr>
            <w:tcW w:w="456" w:type="dxa"/>
          </w:tcPr>
          <w:p w14:paraId="1BD74E09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1</w:t>
            </w:r>
          </w:p>
        </w:tc>
        <w:tc>
          <w:tcPr>
            <w:tcW w:w="4359" w:type="dxa"/>
          </w:tcPr>
          <w:p w14:paraId="2DD96359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szCs w:val="24"/>
                <w:shd w:val="clear" w:color="auto" w:fill="FFFFFF"/>
              </w:rPr>
              <w:t>İskenderoğlu</w:t>
            </w:r>
            <w:proofErr w:type="spellEnd"/>
            <w:r w:rsidRPr="00F94167">
              <w:rPr>
                <w:szCs w:val="24"/>
                <w:shd w:val="clear" w:color="auto" w:fill="FFFFFF"/>
              </w:rPr>
              <w:t xml:space="preserve">, D., &amp; </w:t>
            </w:r>
            <w:proofErr w:type="spellStart"/>
            <w:r w:rsidRPr="00F94167">
              <w:rPr>
                <w:szCs w:val="24"/>
                <w:shd w:val="clear" w:color="auto" w:fill="FFFFFF"/>
              </w:rPr>
              <w:t>Güney</w:t>
            </w:r>
            <w:proofErr w:type="spellEnd"/>
            <w:r w:rsidRPr="00F94167">
              <w:rPr>
                <w:szCs w:val="24"/>
                <w:shd w:val="clear" w:color="auto" w:fill="FFFFFF"/>
              </w:rPr>
              <w:t xml:space="preserve">, H. (2019). Effect of Annealing on the Structural, Morphological and Optical Properties of MgO </w:t>
            </w:r>
            <w:proofErr w:type="spellStart"/>
            <w:r w:rsidRPr="00F94167">
              <w:rPr>
                <w:szCs w:val="24"/>
                <w:shd w:val="clear" w:color="auto" w:fill="FFFFFF"/>
              </w:rPr>
              <w:t>Nanowall</w:t>
            </w:r>
            <w:proofErr w:type="spellEnd"/>
            <w:r w:rsidRPr="00F94167">
              <w:rPr>
                <w:szCs w:val="24"/>
                <w:shd w:val="clear" w:color="auto" w:fill="FFFFFF"/>
              </w:rPr>
              <w:t xml:space="preserve"> Structures Grown by SILAR Method. Journal of Electronic Materials, 48(9), 5850-5856.</w:t>
            </w:r>
          </w:p>
          <w:p w14:paraId="07C50A07" w14:textId="77777777" w:rsidR="007E5D6A" w:rsidRPr="00F94167" w:rsidRDefault="007E5D6A" w:rsidP="00A01175">
            <w:pPr>
              <w:ind w:left="422" w:right="-8192"/>
              <w:rPr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2D1E66F7" w14:textId="77777777" w:rsidR="007E5D6A" w:rsidRPr="00F94167" w:rsidRDefault="007E5D6A" w:rsidP="00A01175">
            <w:pPr>
              <w:rPr>
                <w:szCs w:val="24"/>
              </w:rPr>
            </w:pPr>
            <w:r w:rsidRPr="00F94167">
              <w:rPr>
                <w:rFonts w:eastAsia="Verdana"/>
                <w:szCs w:val="24"/>
                <w:lang w:val="tr-TR" w:eastAsia="tr-TR"/>
              </w:rPr>
              <w:t>Mg-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dopant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effect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on Mn3O4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thin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films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grown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by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SILAR, MENSUR ALBAYRAK, HARUN GÜNEY (</w:t>
            </w:r>
            <w:proofErr w:type="gramStart"/>
            <w:r w:rsidRPr="00F94167">
              <w:rPr>
                <w:rFonts w:eastAsia="Verdana"/>
                <w:szCs w:val="24"/>
                <w:lang w:val="tr-TR" w:eastAsia="tr-TR"/>
              </w:rPr>
              <w:t>19.06.2019 -</w:t>
            </w:r>
            <w:proofErr w:type="gramEnd"/>
            <w:r w:rsidRPr="00F94167">
              <w:rPr>
                <w:rFonts w:eastAsia="Verdana"/>
                <w:szCs w:val="24"/>
                <w:lang w:val="tr-TR" w:eastAsia="tr-TR"/>
              </w:rPr>
              <w:t>21.06.2019 ) , Yayın Yeri:4nd INTERNATIONAL CONFERENCE ON ADVANCES IN NATURAL AND APPLIED SCIENCES</w:t>
            </w:r>
          </w:p>
        </w:tc>
        <w:tc>
          <w:tcPr>
            <w:tcW w:w="3563" w:type="dxa"/>
          </w:tcPr>
          <w:p w14:paraId="0260E2F5" w14:textId="77777777" w:rsidR="007E5D6A" w:rsidRPr="00F94167" w:rsidRDefault="007E5D6A" w:rsidP="00A01175">
            <w:pPr>
              <w:rPr>
                <w:szCs w:val="24"/>
              </w:rPr>
            </w:pPr>
            <w:r w:rsidRPr="00F94167">
              <w:rPr>
                <w:szCs w:val="24"/>
              </w:rPr>
              <w:t xml:space="preserve">ALBAYRAK, M., </w:t>
            </w:r>
            <w:proofErr w:type="spellStart"/>
            <w:r w:rsidRPr="00F94167">
              <w:rPr>
                <w:szCs w:val="24"/>
              </w:rPr>
              <w:t>Kıyak</w:t>
            </w:r>
            <w:proofErr w:type="spellEnd"/>
            <w:r w:rsidRPr="00F94167">
              <w:rPr>
                <w:szCs w:val="24"/>
              </w:rPr>
              <w:t xml:space="preserve">, O., &amp; </w:t>
            </w:r>
            <w:proofErr w:type="spellStart"/>
            <w:r w:rsidRPr="00F94167">
              <w:rPr>
                <w:szCs w:val="24"/>
              </w:rPr>
              <w:t>Güney</w:t>
            </w:r>
            <w:proofErr w:type="spellEnd"/>
            <w:r w:rsidRPr="00F94167">
              <w:rPr>
                <w:szCs w:val="24"/>
              </w:rPr>
              <w:t xml:space="preserve">, H. SILAR </w:t>
            </w:r>
            <w:proofErr w:type="spellStart"/>
            <w:r w:rsidRPr="00F94167">
              <w:rPr>
                <w:szCs w:val="24"/>
              </w:rPr>
              <w:t>Yöntemi</w:t>
            </w:r>
            <w:proofErr w:type="spellEnd"/>
            <w:r w:rsidRPr="00F94167">
              <w:rPr>
                <w:szCs w:val="24"/>
              </w:rPr>
              <w:t xml:space="preserve"> İle Oda </w:t>
            </w:r>
            <w:proofErr w:type="spellStart"/>
            <w:r w:rsidRPr="00F94167">
              <w:rPr>
                <w:szCs w:val="24"/>
              </w:rPr>
              <w:t>Sıcaklığında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Üretilen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CdO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Filmlerinin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Yapısal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Morfolojik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ve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Optik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Özelliklerine</w:t>
            </w:r>
            <w:proofErr w:type="spellEnd"/>
            <w:r w:rsidRPr="00F94167">
              <w:rPr>
                <w:szCs w:val="24"/>
              </w:rPr>
              <w:t xml:space="preserve"> pH </w:t>
            </w:r>
            <w:proofErr w:type="spellStart"/>
            <w:r w:rsidRPr="00F94167">
              <w:rPr>
                <w:szCs w:val="24"/>
              </w:rPr>
              <w:t>Değişimin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Etkisi</w:t>
            </w:r>
            <w:proofErr w:type="spellEnd"/>
            <w:r w:rsidRPr="00F94167">
              <w:rPr>
                <w:szCs w:val="24"/>
              </w:rPr>
              <w:t xml:space="preserve">. </w:t>
            </w:r>
            <w:proofErr w:type="spellStart"/>
            <w:r w:rsidRPr="00F94167">
              <w:rPr>
                <w:szCs w:val="24"/>
              </w:rPr>
              <w:t>Iğdır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Üniversitesi</w:t>
            </w:r>
            <w:proofErr w:type="spellEnd"/>
            <w:r w:rsidRPr="00F94167">
              <w:rPr>
                <w:szCs w:val="24"/>
              </w:rPr>
              <w:t xml:space="preserve"> Fen </w:t>
            </w:r>
            <w:proofErr w:type="spellStart"/>
            <w:r w:rsidRPr="00F94167">
              <w:rPr>
                <w:szCs w:val="24"/>
              </w:rPr>
              <w:t>Bilimleri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Enstitüsü</w:t>
            </w:r>
            <w:proofErr w:type="spellEnd"/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</w:rPr>
              <w:t>Dergisi</w:t>
            </w:r>
            <w:proofErr w:type="spellEnd"/>
            <w:r w:rsidRPr="00F94167">
              <w:rPr>
                <w:szCs w:val="24"/>
              </w:rPr>
              <w:t>, 9(4), 2079-2087.</w:t>
            </w:r>
          </w:p>
        </w:tc>
        <w:tc>
          <w:tcPr>
            <w:tcW w:w="1789" w:type="dxa"/>
          </w:tcPr>
          <w:p w14:paraId="59EF8095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303B9FB6" w14:textId="77777777" w:rsidTr="00A01175">
        <w:tc>
          <w:tcPr>
            <w:tcW w:w="456" w:type="dxa"/>
          </w:tcPr>
          <w:p w14:paraId="2029F524" w14:textId="77777777" w:rsidR="007E5D6A" w:rsidRPr="00F94167" w:rsidRDefault="007E5D6A" w:rsidP="00A01175">
            <w:pPr>
              <w:rPr>
                <w:b/>
                <w:bCs/>
                <w:szCs w:val="24"/>
                <w:shd w:val="clear" w:color="auto" w:fill="FFFFFF"/>
              </w:rPr>
            </w:pPr>
            <w:r w:rsidRPr="00F94167">
              <w:rPr>
                <w:b/>
                <w:bCs/>
                <w:szCs w:val="24"/>
                <w:shd w:val="clear" w:color="auto" w:fill="FFFFFF"/>
              </w:rPr>
              <w:t>2</w:t>
            </w:r>
          </w:p>
        </w:tc>
        <w:tc>
          <w:tcPr>
            <w:tcW w:w="4359" w:type="dxa"/>
          </w:tcPr>
          <w:p w14:paraId="04AE17C2" w14:textId="77777777" w:rsidR="007E5D6A" w:rsidRPr="00F94167" w:rsidRDefault="007E5D6A" w:rsidP="00A01175">
            <w:pPr>
              <w:ind w:left="-4"/>
              <w:rPr>
                <w:szCs w:val="24"/>
              </w:rPr>
            </w:pPr>
            <w:r w:rsidRPr="00F94167">
              <w:rPr>
                <w:szCs w:val="24"/>
              </w:rPr>
              <w:t xml:space="preserve">Bayram, O., </w:t>
            </w:r>
            <w:proofErr w:type="spellStart"/>
            <w:r w:rsidRPr="00F94167">
              <w:rPr>
                <w:szCs w:val="24"/>
              </w:rPr>
              <w:t>İgman</w:t>
            </w:r>
            <w:proofErr w:type="spellEnd"/>
            <w:r w:rsidRPr="00F94167">
              <w:rPr>
                <w:szCs w:val="24"/>
              </w:rPr>
              <w:t xml:space="preserve">, E., </w:t>
            </w:r>
            <w:proofErr w:type="spellStart"/>
            <w:r w:rsidRPr="00F94167">
              <w:rPr>
                <w:szCs w:val="24"/>
              </w:rPr>
              <w:t>Guney</w:t>
            </w:r>
            <w:proofErr w:type="spellEnd"/>
            <w:r w:rsidRPr="00F94167">
              <w:rPr>
                <w:szCs w:val="24"/>
              </w:rPr>
              <w:t xml:space="preserve">, H., &amp; </w:t>
            </w:r>
            <w:proofErr w:type="spellStart"/>
            <w:r w:rsidRPr="00F94167">
              <w:rPr>
                <w:szCs w:val="24"/>
              </w:rPr>
              <w:t>Simsek</w:t>
            </w:r>
            <w:proofErr w:type="spellEnd"/>
            <w:r w:rsidRPr="00F94167">
              <w:rPr>
                <w:szCs w:val="24"/>
              </w:rPr>
              <w:t>, O. (2019). The role of cobalt doping on the optical and structural properties of Mn3O4 nanostructured thin films obtained by SILAR technique. Superlattices and Microstructures, 128, 212-220.</w:t>
            </w:r>
          </w:p>
          <w:p w14:paraId="25D2315D" w14:textId="77777777" w:rsidR="007E5D6A" w:rsidRPr="00F94167" w:rsidRDefault="007E5D6A" w:rsidP="00A01175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0BBC85FE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Preparation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of Silan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based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Titania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Hybrid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Composite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Thin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Film, ATİLLA </w:t>
            </w:r>
            <w:proofErr w:type="gramStart"/>
            <w:r w:rsidRPr="00F94167">
              <w:rPr>
                <w:rFonts w:eastAsia="Calibri"/>
                <w:szCs w:val="24"/>
                <w:lang w:val="tr-TR" w:eastAsia="tr-TR"/>
              </w:rPr>
              <w:t>EVCİN,HARUN</w:t>
            </w:r>
            <w:proofErr w:type="gramEnd"/>
            <w:r w:rsidRPr="00F94167">
              <w:rPr>
                <w:rFonts w:eastAsia="Calibri"/>
                <w:szCs w:val="24"/>
                <w:lang w:val="tr-TR" w:eastAsia="tr-TR"/>
              </w:rPr>
              <w:t xml:space="preserve"> GÜNEY,NALAN ÇİÇEK BEZİR (23.10.2019 -27.10.2019 ) , Yayın Yeri:6th International Conference on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Computational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Experimental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Science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Engineering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(ICCESEN 2019), 2019</w:t>
            </w:r>
          </w:p>
        </w:tc>
        <w:tc>
          <w:tcPr>
            <w:tcW w:w="3563" w:type="dxa"/>
          </w:tcPr>
          <w:p w14:paraId="5A6D2682" w14:textId="77777777" w:rsidR="007E5D6A" w:rsidRPr="00F94167" w:rsidRDefault="007E5D6A" w:rsidP="00A01175">
            <w:pPr>
              <w:ind w:left="-4911" w:right="-1163" w:firstLine="4819"/>
              <w:rPr>
                <w:szCs w:val="24"/>
              </w:rPr>
            </w:pPr>
          </w:p>
        </w:tc>
        <w:tc>
          <w:tcPr>
            <w:tcW w:w="1789" w:type="dxa"/>
          </w:tcPr>
          <w:p w14:paraId="286B1CC6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03BC134E" w14:textId="77777777" w:rsidTr="00A01175">
        <w:tc>
          <w:tcPr>
            <w:tcW w:w="456" w:type="dxa"/>
          </w:tcPr>
          <w:p w14:paraId="7A6AE367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3</w:t>
            </w:r>
          </w:p>
        </w:tc>
        <w:tc>
          <w:tcPr>
            <w:tcW w:w="4359" w:type="dxa"/>
          </w:tcPr>
          <w:p w14:paraId="71A2E1E6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szCs w:val="24"/>
              </w:rPr>
              <w:t>İskenderoğlu</w:t>
            </w:r>
            <w:proofErr w:type="spellEnd"/>
            <w:r w:rsidRPr="00F94167">
              <w:rPr>
                <w:szCs w:val="24"/>
              </w:rPr>
              <w:t xml:space="preserve">, D., &amp; </w:t>
            </w:r>
            <w:proofErr w:type="spellStart"/>
            <w:r w:rsidRPr="00F94167">
              <w:rPr>
                <w:szCs w:val="24"/>
              </w:rPr>
              <w:t>Güney</w:t>
            </w:r>
            <w:proofErr w:type="spellEnd"/>
            <w:r w:rsidRPr="00F94167">
              <w:rPr>
                <w:szCs w:val="24"/>
              </w:rPr>
              <w:t>, H. (2019). Effect of Mg dopant on SnO2 thin films grown by spray pyrolysis technique. Modern Physics Letters B, 33(04), 1950030.</w:t>
            </w:r>
          </w:p>
          <w:p w14:paraId="10C11B96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5B4BF3AD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Preparation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of Silan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based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Zirconia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Hybrid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Composite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Thin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Film, ATİLLA EVCİN, HARUN GÜNEY, NALAN ÇİÇEK BEZİR (</w:t>
            </w:r>
            <w:proofErr w:type="gramStart"/>
            <w:r w:rsidRPr="00F94167">
              <w:rPr>
                <w:rFonts w:eastAsia="Calibri"/>
                <w:szCs w:val="24"/>
                <w:lang w:val="tr-TR" w:eastAsia="tr-TR"/>
              </w:rPr>
              <w:t>23.10.2019 -</w:t>
            </w:r>
            <w:proofErr w:type="gramEnd"/>
            <w:r w:rsidRPr="00F94167">
              <w:rPr>
                <w:rFonts w:eastAsia="Calibri"/>
                <w:szCs w:val="24"/>
                <w:lang w:val="tr-TR" w:eastAsia="tr-TR"/>
              </w:rPr>
              <w:t xml:space="preserve">27.10.2019 ) , Yayın Yeri:6th International Conference on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Computational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Experimental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Science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Engineering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(ICCESEN 2019) , 2019</w:t>
            </w:r>
          </w:p>
        </w:tc>
        <w:tc>
          <w:tcPr>
            <w:tcW w:w="3563" w:type="dxa"/>
          </w:tcPr>
          <w:p w14:paraId="0BD017CE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492DF926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6E4E57CB" w14:textId="77777777" w:rsidTr="00A01175">
        <w:tc>
          <w:tcPr>
            <w:tcW w:w="456" w:type="dxa"/>
          </w:tcPr>
          <w:p w14:paraId="613D4B69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4</w:t>
            </w:r>
          </w:p>
        </w:tc>
        <w:tc>
          <w:tcPr>
            <w:tcW w:w="4359" w:type="dxa"/>
          </w:tcPr>
          <w:p w14:paraId="0782DE34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szCs w:val="24"/>
              </w:rPr>
              <w:t>Güney</w:t>
            </w:r>
            <w:proofErr w:type="spellEnd"/>
            <w:r w:rsidRPr="00F94167">
              <w:rPr>
                <w:szCs w:val="24"/>
              </w:rPr>
              <w:t xml:space="preserve">, H. (2019). The structural, morphological, </w:t>
            </w:r>
            <w:proofErr w:type="gramStart"/>
            <w:r w:rsidRPr="00F94167">
              <w:rPr>
                <w:szCs w:val="24"/>
              </w:rPr>
              <w:t>optical</w:t>
            </w:r>
            <w:proofErr w:type="gramEnd"/>
            <w:r w:rsidRPr="00F94167">
              <w:rPr>
                <w:szCs w:val="24"/>
              </w:rPr>
              <w:t xml:space="preserve"> and electrical properties of Pb doped </w:t>
            </w:r>
            <w:proofErr w:type="spellStart"/>
            <w:r w:rsidRPr="00F94167">
              <w:rPr>
                <w:szCs w:val="24"/>
              </w:rPr>
              <w:t>CdO</w:t>
            </w:r>
            <w:proofErr w:type="spellEnd"/>
            <w:r w:rsidRPr="00F94167">
              <w:rPr>
                <w:szCs w:val="24"/>
              </w:rPr>
              <w:t xml:space="preserve"> thin films </w:t>
            </w:r>
            <w:r w:rsidRPr="00F94167">
              <w:rPr>
                <w:szCs w:val="24"/>
              </w:rPr>
              <w:lastRenderedPageBreak/>
              <w:t>grown by spray method. Vacuum, 159, 261-268.</w:t>
            </w:r>
          </w:p>
          <w:p w14:paraId="42932950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22A4B349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lastRenderedPageBreak/>
              <w:t>The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effect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of Pb-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dopant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on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hausmannite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Mn3O4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grown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by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SILAR, MENSUR ALBAYRAK, </w:t>
            </w:r>
            <w:r w:rsidRPr="00F94167">
              <w:rPr>
                <w:rFonts w:eastAsia="Calibri"/>
                <w:szCs w:val="24"/>
                <w:lang w:val="tr-TR" w:eastAsia="tr-TR"/>
              </w:rPr>
              <w:lastRenderedPageBreak/>
              <w:t>HARUN GÜNEY (</w:t>
            </w:r>
            <w:proofErr w:type="gramStart"/>
            <w:r w:rsidRPr="00F94167">
              <w:rPr>
                <w:rFonts w:eastAsia="Calibri"/>
                <w:szCs w:val="24"/>
                <w:lang w:val="tr-TR" w:eastAsia="tr-TR"/>
              </w:rPr>
              <w:t>19.06.2019 -</w:t>
            </w:r>
            <w:proofErr w:type="gramEnd"/>
            <w:r w:rsidRPr="00F94167">
              <w:rPr>
                <w:rFonts w:eastAsia="Calibri"/>
                <w:szCs w:val="24"/>
                <w:lang w:val="tr-TR" w:eastAsia="tr-TR"/>
              </w:rPr>
              <w:t>21.06.2019 ) , Yayın Yeri:4nd INTERNATIONAL CONFERENCE ON ADVANCES IN NATURAL AND APPLIED SCIENCES. , 2019</w:t>
            </w:r>
          </w:p>
        </w:tc>
        <w:tc>
          <w:tcPr>
            <w:tcW w:w="3563" w:type="dxa"/>
          </w:tcPr>
          <w:p w14:paraId="237ECD77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529D0ED1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3B8F61CC" w14:textId="77777777" w:rsidTr="00A01175">
        <w:tc>
          <w:tcPr>
            <w:tcW w:w="456" w:type="dxa"/>
            <w:vAlign w:val="center"/>
          </w:tcPr>
          <w:p w14:paraId="4E8AE7DA" w14:textId="77777777" w:rsidR="007E5D6A" w:rsidRPr="00F94167" w:rsidRDefault="007E5D6A" w:rsidP="00A01175">
            <w:pPr>
              <w:rPr>
                <w:szCs w:val="24"/>
              </w:rPr>
            </w:pPr>
            <w:r w:rsidRPr="00F94167">
              <w:rPr>
                <w:szCs w:val="24"/>
              </w:rPr>
              <w:t>5</w:t>
            </w:r>
          </w:p>
        </w:tc>
        <w:tc>
          <w:tcPr>
            <w:tcW w:w="4359" w:type="dxa"/>
          </w:tcPr>
          <w:p w14:paraId="41ED7F9F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szCs w:val="24"/>
              </w:rPr>
              <w:t>Güney</w:t>
            </w:r>
            <w:proofErr w:type="spellEnd"/>
            <w:r w:rsidRPr="00F94167">
              <w:rPr>
                <w:szCs w:val="24"/>
              </w:rPr>
              <w:t xml:space="preserve">, H., &amp; </w:t>
            </w:r>
            <w:proofErr w:type="spellStart"/>
            <w:r w:rsidRPr="00F94167">
              <w:rPr>
                <w:szCs w:val="24"/>
              </w:rPr>
              <w:t>İskenderoğlu</w:t>
            </w:r>
            <w:proofErr w:type="spellEnd"/>
            <w:r w:rsidRPr="00F94167">
              <w:rPr>
                <w:szCs w:val="24"/>
              </w:rPr>
              <w:t xml:space="preserve">, D. (2019). The effect of Zn doping on </w:t>
            </w:r>
            <w:proofErr w:type="spellStart"/>
            <w:r w:rsidRPr="00F94167">
              <w:rPr>
                <w:szCs w:val="24"/>
              </w:rPr>
              <w:t>CdO</w:t>
            </w:r>
            <w:proofErr w:type="spellEnd"/>
            <w:r w:rsidRPr="00F94167">
              <w:rPr>
                <w:szCs w:val="24"/>
              </w:rPr>
              <w:t xml:space="preserve"> thin films grown by SILAR method at room temperature. </w:t>
            </w:r>
            <w:proofErr w:type="spellStart"/>
            <w:r w:rsidRPr="00F94167">
              <w:rPr>
                <w:szCs w:val="24"/>
              </w:rPr>
              <w:t>Physica</w:t>
            </w:r>
            <w:proofErr w:type="spellEnd"/>
            <w:r w:rsidRPr="00F94167">
              <w:rPr>
                <w:szCs w:val="24"/>
              </w:rPr>
              <w:t xml:space="preserve"> B: Condensed Matter, 552, 119-123.</w:t>
            </w:r>
          </w:p>
        </w:tc>
        <w:tc>
          <w:tcPr>
            <w:tcW w:w="3827" w:type="dxa"/>
          </w:tcPr>
          <w:p w14:paraId="4F45C00A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Investigation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of Pb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Dopant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Effect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on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CdO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>, HARUN GÜNEY (</w:t>
            </w:r>
            <w:proofErr w:type="gramStart"/>
            <w:r w:rsidRPr="00F94167">
              <w:rPr>
                <w:rFonts w:eastAsia="Calibri"/>
                <w:szCs w:val="24"/>
                <w:lang w:val="tr-TR" w:eastAsia="tr-TR"/>
              </w:rPr>
              <w:t>19.06.2019 -</w:t>
            </w:r>
            <w:proofErr w:type="gramEnd"/>
            <w:r w:rsidRPr="00F94167">
              <w:rPr>
                <w:rFonts w:eastAsia="Calibri"/>
                <w:szCs w:val="24"/>
                <w:lang w:val="tr-TR" w:eastAsia="tr-TR"/>
              </w:rPr>
              <w:t>21.06.2019 ) , Yayın Yeri:4nd INTERNATIONAL CONFERENCE ON ADVANCES IN NATURAL AND APPLIED SCIENCES. , 2019</w:t>
            </w:r>
            <w:r w:rsidRPr="00F94167">
              <w:rPr>
                <w:rFonts w:eastAsia="Verdana"/>
                <w:szCs w:val="24"/>
                <w:lang w:val="tr-TR" w:eastAsia="tr-TR"/>
              </w:rPr>
              <w:tab/>
            </w:r>
          </w:p>
        </w:tc>
        <w:tc>
          <w:tcPr>
            <w:tcW w:w="3563" w:type="dxa"/>
          </w:tcPr>
          <w:p w14:paraId="41E53233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10C39DF4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2DAA9B89" w14:textId="77777777" w:rsidTr="00A01175">
        <w:tc>
          <w:tcPr>
            <w:tcW w:w="456" w:type="dxa"/>
          </w:tcPr>
          <w:p w14:paraId="06A7A5E1" w14:textId="77777777" w:rsidR="007E5D6A" w:rsidRPr="00F94167" w:rsidRDefault="007E5D6A" w:rsidP="00A01175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6</w:t>
            </w:r>
          </w:p>
        </w:tc>
        <w:tc>
          <w:tcPr>
            <w:tcW w:w="4359" w:type="dxa"/>
          </w:tcPr>
          <w:p w14:paraId="68936940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Erdemir </w:t>
            </w:r>
            <w:proofErr w:type="spellStart"/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Fatos,BARUT</w:t>
            </w:r>
            <w:proofErr w:type="spellEnd"/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 CELEPCI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DUYGU,Aktas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Aydın,GÖK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YETKIN,KAYA RÜYA,TASLIMI PARHAM,DEMIR YELIZ,GÜLÇIN ILHAMI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Novel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2-aminopyridine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liganded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Pd(</w:t>
            </w:r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II)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Nheterocyclic</w:t>
            </w:r>
            <w:proofErr w:type="spellEnd"/>
          </w:p>
          <w:p w14:paraId="7A39A525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carbene</w:t>
            </w:r>
            <w:proofErr w:type="spellEnd"/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complexes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: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characterization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crystal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structure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bioactivity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properties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. BIOORGANIC CHEMISTRY, 91(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null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),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: 10.1016/j.bioorg.2019.103134</w:t>
            </w:r>
          </w:p>
        </w:tc>
        <w:tc>
          <w:tcPr>
            <w:tcW w:w="3827" w:type="dxa"/>
          </w:tcPr>
          <w:p w14:paraId="10818809" w14:textId="77777777" w:rsidR="007E5D6A" w:rsidRPr="00F94167" w:rsidRDefault="007E5D6A" w:rsidP="00A01175">
            <w:pPr>
              <w:ind w:left="36"/>
              <w:rPr>
                <w:rFonts w:eastAsia="Verdana"/>
                <w:szCs w:val="24"/>
              </w:rPr>
            </w:pPr>
            <w:r w:rsidRPr="00F94167">
              <w:rPr>
                <w:rFonts w:eastAsia="Verdana"/>
                <w:szCs w:val="24"/>
              </w:rPr>
              <w:t xml:space="preserve">Design and Synthesis of Novel Asymmetric N-Amino Acid Substituted </w:t>
            </w:r>
            <w:proofErr w:type="spellStart"/>
            <w:r w:rsidRPr="00F94167">
              <w:rPr>
                <w:rFonts w:eastAsia="Verdana"/>
                <w:szCs w:val="24"/>
              </w:rPr>
              <w:t>Sulfonamide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Derivatives of Dopamine Analogue include Urea Moiety.  4th INTERNATIONAL CONFERENCE ON ADVANCES IN </w:t>
            </w:r>
            <w:proofErr w:type="gramStart"/>
            <w:r w:rsidRPr="00F94167">
              <w:rPr>
                <w:rFonts w:eastAsia="Verdana"/>
                <w:szCs w:val="24"/>
              </w:rPr>
              <w:t>NATURAL  APPLIED</w:t>
            </w:r>
            <w:proofErr w:type="gramEnd"/>
            <w:r w:rsidRPr="00F94167">
              <w:rPr>
                <w:rFonts w:eastAsia="Verdana"/>
                <w:szCs w:val="24"/>
              </w:rPr>
              <w:t xml:space="preserve"> SCIENCE, (2019),  150-153. AKINCIOĞLU AKIN, GÖKSU SÜLEYMAN, </w:t>
            </w:r>
            <w:proofErr w:type="spellStart"/>
            <w:r w:rsidRPr="00F94167">
              <w:rPr>
                <w:rFonts w:eastAsia="Verdana"/>
                <w:szCs w:val="24"/>
              </w:rPr>
              <w:t>Gök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Nihal</w:t>
            </w:r>
          </w:p>
        </w:tc>
        <w:tc>
          <w:tcPr>
            <w:tcW w:w="3563" w:type="dxa"/>
          </w:tcPr>
          <w:p w14:paraId="544C8408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1671FAAE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6A60AEEB" w14:textId="77777777" w:rsidTr="00A01175">
        <w:tc>
          <w:tcPr>
            <w:tcW w:w="456" w:type="dxa"/>
          </w:tcPr>
          <w:p w14:paraId="051DA4B3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7</w:t>
            </w:r>
          </w:p>
        </w:tc>
        <w:tc>
          <w:tcPr>
            <w:tcW w:w="4359" w:type="dxa"/>
          </w:tcPr>
          <w:p w14:paraId="5D4416E8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4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Erdemir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Fatos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BARUT CELEPCI DUYGU,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Aktas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Aydın, GÖK YETKIN, KAYA RÜYA, TASLIMI PARHAM, DEMIR YELIZ, GÜLÇIN ILHAMI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Novel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2-aminopyridine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liganded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Pd(</w:t>
            </w:r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II)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Nheterocyclic</w:t>
            </w:r>
            <w:proofErr w:type="spellEnd"/>
          </w:p>
          <w:p w14:paraId="182F9EBF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proofErr w:type="spellStart"/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carbene</w:t>
            </w:r>
            <w:proofErr w:type="spellEnd"/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complexes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: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characterization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crystal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structure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lastRenderedPageBreak/>
              <w:t>bioactivity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properties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. BIOORGANIC CHEMISTRY, 91(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null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),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: 10.1016/j.bioorg.2019.103134</w:t>
            </w:r>
          </w:p>
        </w:tc>
        <w:tc>
          <w:tcPr>
            <w:tcW w:w="3827" w:type="dxa"/>
          </w:tcPr>
          <w:p w14:paraId="75E9BE67" w14:textId="77777777" w:rsidR="007E5D6A" w:rsidRPr="00F94167" w:rsidRDefault="007E5D6A" w:rsidP="00A01175">
            <w:pPr>
              <w:suppressAutoHyphens w:val="0"/>
              <w:spacing w:after="190"/>
              <w:rPr>
                <w:rFonts w:eastAsia="Verdana"/>
                <w:szCs w:val="24"/>
                <w:lang w:val="tr-TR" w:eastAsia="tr-TR"/>
              </w:rPr>
            </w:pPr>
            <w:r w:rsidRPr="00F94167">
              <w:rPr>
                <w:rFonts w:eastAsia="Verdana"/>
                <w:szCs w:val="24"/>
              </w:rPr>
              <w:lastRenderedPageBreak/>
              <w:t xml:space="preserve">The First Synthesis of Novel </w:t>
            </w:r>
            <w:proofErr w:type="spellStart"/>
            <w:r w:rsidRPr="00F94167">
              <w:rPr>
                <w:rFonts w:eastAsia="Verdana"/>
                <w:szCs w:val="24"/>
              </w:rPr>
              <w:t>Sulfonamides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Derived from Dopamine Incorporating Urea.  4th INTERNATIONAL CONFERENCE ON ADVANCES IN </w:t>
            </w:r>
            <w:proofErr w:type="gramStart"/>
            <w:r w:rsidRPr="00F94167">
              <w:rPr>
                <w:rFonts w:eastAsia="Verdana"/>
                <w:szCs w:val="24"/>
              </w:rPr>
              <w:t>NATURAL  APPLIED</w:t>
            </w:r>
            <w:proofErr w:type="gramEnd"/>
            <w:r w:rsidRPr="00F94167">
              <w:rPr>
                <w:rFonts w:eastAsia="Verdana"/>
                <w:szCs w:val="24"/>
              </w:rPr>
              <w:t xml:space="preserve"> SCIENCES, (2019), 147-149. (Tam </w:t>
            </w:r>
            <w:proofErr w:type="spellStart"/>
            <w:r w:rsidRPr="00F94167">
              <w:rPr>
                <w:rFonts w:eastAsia="Verdana"/>
                <w:szCs w:val="24"/>
              </w:rPr>
              <w:t>Metin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</w:rPr>
              <w:t>Bildiri</w:t>
            </w:r>
            <w:proofErr w:type="spellEnd"/>
            <w:r w:rsidRPr="00F94167">
              <w:rPr>
                <w:rFonts w:eastAsia="Verdana"/>
                <w:szCs w:val="24"/>
              </w:rPr>
              <w:t>/</w:t>
            </w:r>
            <w:proofErr w:type="spellStart"/>
            <w:r w:rsidRPr="00F94167">
              <w:rPr>
                <w:rFonts w:eastAsia="Verdana"/>
                <w:szCs w:val="24"/>
              </w:rPr>
              <w:t>Sözlü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</w:rPr>
              <w:t>Sunum</w:t>
            </w:r>
            <w:proofErr w:type="spellEnd"/>
            <w:r w:rsidRPr="00F94167">
              <w:rPr>
                <w:rFonts w:eastAsia="Verdana"/>
                <w:szCs w:val="24"/>
              </w:rPr>
              <w:t>) AKINCIOĞLU AKIN</w:t>
            </w:r>
          </w:p>
        </w:tc>
        <w:tc>
          <w:tcPr>
            <w:tcW w:w="3563" w:type="dxa"/>
          </w:tcPr>
          <w:p w14:paraId="233A7E64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160F774E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30C8EBC5" w14:textId="77777777" w:rsidTr="00A01175">
        <w:tc>
          <w:tcPr>
            <w:tcW w:w="456" w:type="dxa"/>
          </w:tcPr>
          <w:p w14:paraId="1A23676F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8</w:t>
            </w:r>
          </w:p>
        </w:tc>
        <w:tc>
          <w:tcPr>
            <w:tcW w:w="4359" w:type="dxa"/>
          </w:tcPr>
          <w:p w14:paraId="5B43BCAD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BURMAOGLU SERDAR, Yılmaz Ali Osman, POLAT MUHAMMED FATIH, KAYA RÜYA, GÜLÇIN ILHAMI, ALGÜL ÖZTEKIN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biological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evaluation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novel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tris-chalcones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as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potent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carbonic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anhydrase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acetylcholinesterase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butyrylcholinesterase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alpha-glycosidase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inhibitors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. BIOORGANIC CHEMISTRY, 85(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null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), 191-197.,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: 10.1016/j.bioorg.2018.12.035</w:t>
            </w:r>
          </w:p>
        </w:tc>
        <w:tc>
          <w:tcPr>
            <w:tcW w:w="3827" w:type="dxa"/>
          </w:tcPr>
          <w:p w14:paraId="50AA3142" w14:textId="77777777" w:rsidR="007E5D6A" w:rsidRPr="00F94167" w:rsidRDefault="007E5D6A" w:rsidP="00A01175">
            <w:pPr>
              <w:suppressAutoHyphens w:val="0"/>
              <w:spacing w:after="190"/>
              <w:rPr>
                <w:rFonts w:eastAsia="Verdana"/>
                <w:szCs w:val="24"/>
              </w:rPr>
            </w:pPr>
            <w:r w:rsidRPr="00F94167">
              <w:rPr>
                <w:rFonts w:eastAsia="Verdana"/>
                <w:szCs w:val="24"/>
              </w:rPr>
              <w:t xml:space="preserve">A Novel Approach to The Synthesis of </w:t>
            </w:r>
            <w:proofErr w:type="spellStart"/>
            <w:r w:rsidRPr="00F94167">
              <w:rPr>
                <w:rFonts w:eastAsia="Verdana"/>
                <w:szCs w:val="24"/>
              </w:rPr>
              <w:t>Thyronamine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Analogue Incorporating </w:t>
            </w:r>
            <w:proofErr w:type="spellStart"/>
            <w:r w:rsidRPr="00F94167">
              <w:rPr>
                <w:rFonts w:eastAsia="Verdana"/>
                <w:szCs w:val="24"/>
              </w:rPr>
              <w:t>Indane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Scaffold.  7th Drug Chemistry </w:t>
            </w:r>
            <w:proofErr w:type="spellStart"/>
            <w:proofErr w:type="gramStart"/>
            <w:r w:rsidRPr="00F94167">
              <w:rPr>
                <w:rFonts w:eastAsia="Verdana"/>
                <w:szCs w:val="24"/>
              </w:rPr>
              <w:t>Conference:Design</w:t>
            </w:r>
            <w:proofErr w:type="spellEnd"/>
            <w:proofErr w:type="gramEnd"/>
            <w:r w:rsidRPr="00F94167">
              <w:rPr>
                <w:rFonts w:eastAsia="Verdana"/>
                <w:szCs w:val="24"/>
              </w:rPr>
              <w:t xml:space="preserve">, Synthesis, Production </w:t>
            </w:r>
            <w:proofErr w:type="spellStart"/>
            <w:r w:rsidRPr="00F94167">
              <w:rPr>
                <w:rFonts w:eastAsia="Verdana"/>
                <w:szCs w:val="24"/>
              </w:rPr>
              <w:t>andStandardization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of Drug </w:t>
            </w:r>
            <w:proofErr w:type="spellStart"/>
            <w:r w:rsidRPr="00F94167">
              <w:rPr>
                <w:rFonts w:eastAsia="Verdana"/>
                <w:szCs w:val="24"/>
              </w:rPr>
              <w:t>ActiveSubstances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, (2019).(Tam </w:t>
            </w:r>
            <w:proofErr w:type="spellStart"/>
            <w:r w:rsidRPr="00F94167">
              <w:rPr>
                <w:rFonts w:eastAsia="Verdana"/>
                <w:szCs w:val="24"/>
              </w:rPr>
              <w:t>Metin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</w:rPr>
              <w:t>Bildiri</w:t>
            </w:r>
            <w:proofErr w:type="spellEnd"/>
            <w:r w:rsidRPr="00F94167">
              <w:rPr>
                <w:rFonts w:eastAsia="Verdana"/>
                <w:szCs w:val="24"/>
              </w:rPr>
              <w:t>/</w:t>
            </w:r>
            <w:proofErr w:type="spellStart"/>
            <w:r w:rsidRPr="00F94167">
              <w:rPr>
                <w:rFonts w:eastAsia="Verdana"/>
                <w:szCs w:val="24"/>
              </w:rPr>
              <w:t>Sözlü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</w:rPr>
              <w:t>Sunum</w:t>
            </w:r>
            <w:proofErr w:type="spellEnd"/>
            <w:r w:rsidRPr="00F94167">
              <w:rPr>
                <w:rFonts w:eastAsia="Verdana"/>
                <w:szCs w:val="24"/>
              </w:rPr>
              <w:t>)(</w:t>
            </w:r>
            <w:proofErr w:type="spellStart"/>
            <w:r w:rsidRPr="00F94167">
              <w:rPr>
                <w:rFonts w:eastAsia="Verdana"/>
                <w:szCs w:val="24"/>
              </w:rPr>
              <w:t>Yayın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No:5751250) GÖKSU SÜLEYMAN, </w:t>
            </w:r>
            <w:proofErr w:type="spellStart"/>
            <w:r w:rsidRPr="00F94167">
              <w:rPr>
                <w:rFonts w:eastAsia="Verdana"/>
                <w:szCs w:val="24"/>
              </w:rPr>
              <w:t>Canoğlu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</w:rPr>
              <w:t>Uğur</w:t>
            </w:r>
            <w:proofErr w:type="spellEnd"/>
            <w:r w:rsidRPr="00F94167">
              <w:rPr>
                <w:rFonts w:eastAsia="Verdana"/>
                <w:szCs w:val="24"/>
              </w:rPr>
              <w:t>, AKINCIOĞLU AKIN</w:t>
            </w:r>
          </w:p>
        </w:tc>
        <w:tc>
          <w:tcPr>
            <w:tcW w:w="3563" w:type="dxa"/>
          </w:tcPr>
          <w:p w14:paraId="2C3086D9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5CB1EC73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341FD695" w14:textId="77777777" w:rsidTr="00A01175">
        <w:tc>
          <w:tcPr>
            <w:tcW w:w="456" w:type="dxa"/>
          </w:tcPr>
          <w:p w14:paraId="27099EF0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9</w:t>
            </w:r>
          </w:p>
        </w:tc>
        <w:tc>
          <w:tcPr>
            <w:tcW w:w="4359" w:type="dxa"/>
          </w:tcPr>
          <w:p w14:paraId="372323C5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GÜLÇIN ILHAMI, KAYA RÜYA, GÖREN NEZHUN, AKINCIOGLU HÜLYA, TOPAL MERYEM, BINGÖL ZEYNEBE, Çetin Çakmak Kader, ÖZTÜRK SARIKAYA SEVIM BEYZA, DURMAZ LOKMAN, ALWASEL SALEH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Anticholinergic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antidiabetic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antioxidant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activities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cinnamon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(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cinnamomum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verum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) bark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extracts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: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polyphenol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contents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analysis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by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LC-MS/MS. INTERNATIONAL JOURNAL OF FOOD PROPERTIES, 22(1), 1511-1526.,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: 10.1080/10942912.2019.1656232 </w:t>
            </w:r>
          </w:p>
        </w:tc>
        <w:tc>
          <w:tcPr>
            <w:tcW w:w="3827" w:type="dxa"/>
          </w:tcPr>
          <w:p w14:paraId="5A201A73" w14:textId="77777777" w:rsidR="007E5D6A" w:rsidRPr="00F94167" w:rsidRDefault="007E5D6A" w:rsidP="00A01175">
            <w:pPr>
              <w:rPr>
                <w:szCs w:val="24"/>
              </w:rPr>
            </w:pPr>
            <w:r w:rsidRPr="00F94167">
              <w:rPr>
                <w:rFonts w:eastAsia="Verdana"/>
                <w:szCs w:val="24"/>
              </w:rPr>
              <w:t xml:space="preserve">Design and Synthesis of N-Alkylamine-Containing </w:t>
            </w:r>
            <w:proofErr w:type="spellStart"/>
            <w:r w:rsidRPr="00F94167">
              <w:rPr>
                <w:rFonts w:eastAsia="Verdana"/>
                <w:szCs w:val="24"/>
              </w:rPr>
              <w:t>Sulfonamides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Incorporating Dopamine Skeleton.  7th Drug Chemistry </w:t>
            </w:r>
            <w:proofErr w:type="spellStart"/>
            <w:proofErr w:type="gramStart"/>
            <w:r w:rsidRPr="00F94167">
              <w:rPr>
                <w:rFonts w:eastAsia="Verdana"/>
                <w:szCs w:val="24"/>
              </w:rPr>
              <w:t>Conference:Design</w:t>
            </w:r>
            <w:proofErr w:type="spellEnd"/>
            <w:proofErr w:type="gramEnd"/>
            <w:r w:rsidRPr="00F94167">
              <w:rPr>
                <w:rFonts w:eastAsia="Verdana"/>
                <w:szCs w:val="24"/>
              </w:rPr>
              <w:t xml:space="preserve">, Synthesis, Production </w:t>
            </w:r>
            <w:proofErr w:type="spellStart"/>
            <w:r w:rsidRPr="00F94167">
              <w:rPr>
                <w:rFonts w:eastAsia="Verdana"/>
                <w:szCs w:val="24"/>
              </w:rPr>
              <w:t>andStandardization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of Drug </w:t>
            </w:r>
            <w:proofErr w:type="spellStart"/>
            <w:r w:rsidRPr="00F94167">
              <w:rPr>
                <w:rFonts w:eastAsia="Verdana"/>
                <w:szCs w:val="24"/>
              </w:rPr>
              <w:t>ActiveSubstances</w:t>
            </w:r>
            <w:proofErr w:type="spellEnd"/>
            <w:r w:rsidRPr="00F94167">
              <w:rPr>
                <w:rFonts w:eastAsia="Verdana"/>
                <w:szCs w:val="24"/>
              </w:rPr>
              <w:t xml:space="preserve"> AKINCIOĞLU AKIN (2019).  </w:t>
            </w:r>
          </w:p>
        </w:tc>
        <w:tc>
          <w:tcPr>
            <w:tcW w:w="3563" w:type="dxa"/>
          </w:tcPr>
          <w:p w14:paraId="1CA39E79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4C0342A0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39EC2721" w14:textId="77777777" w:rsidTr="00A01175">
        <w:tc>
          <w:tcPr>
            <w:tcW w:w="456" w:type="dxa"/>
          </w:tcPr>
          <w:p w14:paraId="4477DF88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lastRenderedPageBreak/>
              <w:t>10</w:t>
            </w:r>
          </w:p>
        </w:tc>
        <w:tc>
          <w:tcPr>
            <w:tcW w:w="4359" w:type="dxa"/>
          </w:tcPr>
          <w:p w14:paraId="45C7303C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BURMAOGLU SERDAR, Yılmaz Ali Osman, POLAT MUHAMMED FATIH, KAYA RÜYA, GÜLÇIN ILHAMI, ALGÜL ÖZTEKIN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novel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tris-chalcones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determination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their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inhibition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profiles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against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some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metabolic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enzymes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. ARCHIVES OF PHYSIOLOGY AND </w:t>
            </w:r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BIOCHEMISTRY(</w:t>
            </w:r>
            <w:proofErr w:type="spellStart"/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>null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),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: 10.1080/13813455.2019.1623265</w:t>
            </w:r>
          </w:p>
        </w:tc>
        <w:tc>
          <w:tcPr>
            <w:tcW w:w="3827" w:type="dxa"/>
          </w:tcPr>
          <w:p w14:paraId="059240BF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The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Effects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of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Some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Nanoparticules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on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Growth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and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    Development in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Maize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(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Zea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mays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)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Plant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4. Uluslararası Temel ve Uygulamalı Bilimlerdeki Gelişmeler Konferansı ICANAS 2019 Author, Yazar Sayısı=2, TABAY Dilruba, AKSAKAL   Özkan</w:t>
            </w:r>
          </w:p>
        </w:tc>
        <w:tc>
          <w:tcPr>
            <w:tcW w:w="3563" w:type="dxa"/>
          </w:tcPr>
          <w:p w14:paraId="56CA95C9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34E114EA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7912479C" w14:textId="77777777" w:rsidTr="00A01175">
        <w:tc>
          <w:tcPr>
            <w:tcW w:w="456" w:type="dxa"/>
          </w:tcPr>
          <w:p w14:paraId="33A5F9D3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11</w:t>
            </w:r>
          </w:p>
        </w:tc>
        <w:tc>
          <w:tcPr>
            <w:tcW w:w="4359" w:type="dxa"/>
          </w:tcPr>
          <w:p w14:paraId="016DEF85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YIGIT BEYHAN, KAYA RÜYA, TASLIMI PARHAM, Yılmaz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Isık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KARAMAN MUHAMMET, YIGIT MURAT, ÖZDEMIR ISMAIL, GÜLÇIN ILHAMI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Imidazolinium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chloride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salts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bearing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wingtipgroups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: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molecular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docking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metabolic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enzymes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inhibition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. JOURNAL OF MOLECULAR STRUCTURE, 1179(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null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), 709-718.,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: 10.1016/j.molstruc.2018.11.038</w:t>
            </w:r>
          </w:p>
        </w:tc>
        <w:tc>
          <w:tcPr>
            <w:tcW w:w="3827" w:type="dxa"/>
          </w:tcPr>
          <w:p w14:paraId="718A68F3" w14:textId="77777777" w:rsidR="007E5D6A" w:rsidRPr="00F94167" w:rsidRDefault="007E5D6A" w:rsidP="00A01175">
            <w:pPr>
              <w:rPr>
                <w:szCs w:val="24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KAYA RÜYA, DEMIR </w:t>
            </w:r>
            <w:proofErr w:type="spellStart"/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YELIZ,taslimi</w:t>
            </w:r>
            <w:proofErr w:type="spellEnd"/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parham,GÜLÇIN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ILHAMI,ELMASTAS .MAHFUZ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InhibitionProperties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Teucroside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Arbutin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Oleuropein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on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Carbonic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Anhydrase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AcetylcholinesteraseEnzyme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Activity. 1st International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Congress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on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Analytical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Bioanalytical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Chemistry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.</w:t>
            </w:r>
          </w:p>
        </w:tc>
        <w:tc>
          <w:tcPr>
            <w:tcW w:w="3563" w:type="dxa"/>
          </w:tcPr>
          <w:p w14:paraId="65E935DA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3EC3D013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30718E36" w14:textId="77777777" w:rsidTr="00A01175">
        <w:tc>
          <w:tcPr>
            <w:tcW w:w="456" w:type="dxa"/>
          </w:tcPr>
          <w:p w14:paraId="4D521C4A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12</w:t>
            </w:r>
          </w:p>
        </w:tc>
        <w:tc>
          <w:tcPr>
            <w:tcW w:w="4359" w:type="dxa"/>
          </w:tcPr>
          <w:p w14:paraId="62141D05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BIÇER ABDULLAH, KAYA RÜYA, YAKALI GÜL, GÜLTEKIN MEHMET SERDAR, TURGUT CINGÜNSELI, GÜLÇIN ILHAMI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Novel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beta-Amino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Carbonyl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Derivatives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TheirInhibition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Effects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on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Some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Metabolic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EnzymesJournal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Molecular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lastRenderedPageBreak/>
              <w:t>Structure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. JOURNAL OFMOLECULAR STRUCTURE</w:t>
            </w:r>
          </w:p>
        </w:tc>
        <w:tc>
          <w:tcPr>
            <w:tcW w:w="3827" w:type="dxa"/>
          </w:tcPr>
          <w:p w14:paraId="38AA365D" w14:textId="77777777" w:rsidR="007E5D6A" w:rsidRPr="00F94167" w:rsidRDefault="007E5D6A" w:rsidP="00A01175">
            <w:pPr>
              <w:suppressAutoHyphens w:val="0"/>
              <w:spacing w:after="190"/>
              <w:rPr>
                <w:rFonts w:eastAsia="Calibri"/>
                <w:szCs w:val="24"/>
                <w:lang w:val="tr-TR" w:eastAsia="tr-TR"/>
              </w:rPr>
            </w:pP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lastRenderedPageBreak/>
              <w:t>Phytochemical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Investigations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Rosaceae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Sanguisorba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proofErr w:type="gramStart"/>
            <w:r w:rsidRPr="00F94167">
              <w:rPr>
                <w:rFonts w:eastAsia="Calibri"/>
                <w:szCs w:val="24"/>
                <w:lang w:val="tr-TR" w:eastAsia="tr-TR"/>
              </w:rPr>
              <w:t>Armena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,ICANAS</w:t>
            </w:r>
            <w:proofErr w:type="gramEnd"/>
            <w:r w:rsidRPr="00F94167">
              <w:rPr>
                <w:rFonts w:eastAsia="Calibri"/>
                <w:szCs w:val="24"/>
                <w:lang w:val="tr-TR" w:eastAsia="tr-TR"/>
              </w:rPr>
              <w:t xml:space="preserve"> 2019  </w:t>
            </w:r>
            <w:r w:rsidRPr="00F94167">
              <w:rPr>
                <w:rFonts w:eastAsia="Verdana"/>
                <w:szCs w:val="24"/>
                <w:lang w:val="tr-TR" w:eastAsia="tr-TR"/>
              </w:rPr>
              <w:t xml:space="preserve">Author, Yazar Sayısı=1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Ceyran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Ertuğrul </w:t>
            </w:r>
          </w:p>
        </w:tc>
        <w:tc>
          <w:tcPr>
            <w:tcW w:w="3563" w:type="dxa"/>
          </w:tcPr>
          <w:p w14:paraId="74F456B0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5CAE9406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17CC11BE" w14:textId="77777777" w:rsidTr="00A01175">
        <w:tc>
          <w:tcPr>
            <w:tcW w:w="456" w:type="dxa"/>
          </w:tcPr>
          <w:p w14:paraId="0F6973E7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13</w:t>
            </w:r>
          </w:p>
        </w:tc>
        <w:tc>
          <w:tcPr>
            <w:tcW w:w="4359" w:type="dxa"/>
          </w:tcPr>
          <w:p w14:paraId="5B9026EE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BIÇER ABDULLAH, KAYA RÜYA, ANIL BARIS, TURGUT CIN GÜNSELI, GÜLÇIN ILHAMI, GÜLTEKINMEHMET SERDAR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novel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bis?sulfone</w:t>
            </w:r>
            <w:proofErr w:type="spellEnd"/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derivatives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their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inhibitionpropertieson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some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metabolic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enzymes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including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carbonicanhydrase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acetylcholinesterase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butyrylcholinesterase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. JOURNAL OF BIOCHEMICAL AND MOLECULAR TOXICOLOGY</w:t>
            </w:r>
          </w:p>
        </w:tc>
        <w:tc>
          <w:tcPr>
            <w:tcW w:w="3827" w:type="dxa"/>
          </w:tcPr>
          <w:p w14:paraId="44325346" w14:textId="77777777" w:rsidR="007E5D6A" w:rsidRPr="00F94167" w:rsidRDefault="007E5D6A" w:rsidP="00A01175">
            <w:pPr>
              <w:suppressAutoHyphens w:val="0"/>
              <w:spacing w:after="190"/>
              <w:rPr>
                <w:rFonts w:eastAsia="Calibri"/>
                <w:szCs w:val="24"/>
                <w:lang w:val="tr-TR" w:eastAsia="tr-TR"/>
              </w:rPr>
            </w:pP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Rosmarinic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Acid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Content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Radical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ScavengingAbility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Some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Thyme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Oregano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Species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, ICANAS 2019 </w:t>
            </w:r>
            <w:r w:rsidRPr="00F94167">
              <w:rPr>
                <w:rFonts w:eastAsia="Verdana"/>
                <w:szCs w:val="24"/>
                <w:lang w:val="tr-TR" w:eastAsia="tr-TR"/>
              </w:rPr>
              <w:t xml:space="preserve">Author, Yazar Sayısı=4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Ceyran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Ertuğrul, Şimşek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Samed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>, Akşit Hüseyin, Kandemir Ali</w:t>
            </w:r>
          </w:p>
        </w:tc>
        <w:tc>
          <w:tcPr>
            <w:tcW w:w="3563" w:type="dxa"/>
          </w:tcPr>
          <w:p w14:paraId="59B183F6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0A2064EA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15C69E75" w14:textId="77777777" w:rsidTr="00A01175">
        <w:tc>
          <w:tcPr>
            <w:tcW w:w="456" w:type="dxa"/>
            <w:vAlign w:val="center"/>
          </w:tcPr>
          <w:p w14:paraId="0AD16A5D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14</w:t>
            </w:r>
          </w:p>
        </w:tc>
        <w:tc>
          <w:tcPr>
            <w:tcW w:w="4359" w:type="dxa"/>
          </w:tcPr>
          <w:p w14:paraId="1EEA1813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ATMACA UFUK, KAYA RÜYA, </w:t>
            </w:r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karaman</w:t>
            </w:r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halide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sedef, ÇELIK MURAT, GÜLÇIN ILHAMI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Synthesisof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oxazolidinone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from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enantiomerically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enriched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allylic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alcohols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determination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theirmolecular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docking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biologic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activities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Bioorganic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Chemistry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88, 102980,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: 10.1016/j.bioorg.2019.102980</w:t>
            </w:r>
          </w:p>
        </w:tc>
        <w:tc>
          <w:tcPr>
            <w:tcW w:w="3827" w:type="dxa"/>
          </w:tcPr>
          <w:p w14:paraId="15AA63C7" w14:textId="77777777" w:rsidR="007E5D6A" w:rsidRPr="00F94167" w:rsidRDefault="007E5D6A" w:rsidP="00A01175">
            <w:pPr>
              <w:rPr>
                <w:szCs w:val="24"/>
              </w:rPr>
            </w:pP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Antioxidant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Activity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Essential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Oil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Profile of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Alchemilla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Erzincanensis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th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Internatıonal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Turkıc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World Conference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Onchemıcal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Scıences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tr-TR"/>
              </w:rPr>
              <w:t>Technologıes</w:t>
            </w:r>
            <w:proofErr w:type="spellEnd"/>
            <w:r w:rsidRPr="00F94167">
              <w:rPr>
                <w:rFonts w:eastAsia="Calibri"/>
                <w:szCs w:val="24"/>
                <w:lang w:val="tr-TR" w:eastAsia="tr-TR"/>
              </w:rPr>
              <w:t xml:space="preserve"> (ITWCCST </w:t>
            </w:r>
            <w:proofErr w:type="gramStart"/>
            <w:r w:rsidRPr="00F94167">
              <w:rPr>
                <w:rFonts w:eastAsia="Calibri"/>
                <w:szCs w:val="24"/>
                <w:lang w:val="tr-TR" w:eastAsia="tr-TR"/>
              </w:rPr>
              <w:t>2019)</w:t>
            </w:r>
            <w:r w:rsidRPr="00F94167">
              <w:rPr>
                <w:rFonts w:eastAsia="Verdana"/>
                <w:szCs w:val="24"/>
                <w:lang w:val="tr-TR" w:eastAsia="tr-TR"/>
              </w:rPr>
              <w:t>Author</w:t>
            </w:r>
            <w:proofErr w:type="gramEnd"/>
            <w:r w:rsidRPr="00F94167">
              <w:rPr>
                <w:rFonts w:eastAsia="Verdana"/>
                <w:szCs w:val="24"/>
                <w:lang w:val="tr-TR" w:eastAsia="tr-TR"/>
              </w:rPr>
              <w:t xml:space="preserve">, Yazar Sayısı=3 Kayış Ümit Yaşar, Aktaş Mehmet, </w:t>
            </w:r>
            <w:proofErr w:type="spellStart"/>
            <w:r w:rsidRPr="00F94167">
              <w:rPr>
                <w:rFonts w:eastAsia="Verdana"/>
                <w:szCs w:val="24"/>
                <w:lang w:val="tr-TR" w:eastAsia="tr-TR"/>
              </w:rPr>
              <w:t>Ceyran</w:t>
            </w:r>
            <w:proofErr w:type="spellEnd"/>
            <w:r w:rsidRPr="00F94167">
              <w:rPr>
                <w:rFonts w:eastAsia="Verdana"/>
                <w:szCs w:val="24"/>
                <w:lang w:val="tr-TR" w:eastAsia="tr-TR"/>
              </w:rPr>
              <w:t xml:space="preserve"> Ertuğrul</w:t>
            </w:r>
          </w:p>
        </w:tc>
        <w:tc>
          <w:tcPr>
            <w:tcW w:w="3563" w:type="dxa"/>
          </w:tcPr>
          <w:p w14:paraId="44C278B9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739E2A38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2C84DE8D" w14:textId="77777777" w:rsidTr="00A01175">
        <w:tc>
          <w:tcPr>
            <w:tcW w:w="456" w:type="dxa"/>
            <w:vAlign w:val="center"/>
          </w:tcPr>
          <w:p w14:paraId="7FB9A892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15</w:t>
            </w:r>
          </w:p>
        </w:tc>
        <w:tc>
          <w:tcPr>
            <w:tcW w:w="4359" w:type="dxa"/>
          </w:tcPr>
          <w:p w14:paraId="1084E07A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Öztaskın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Necla, KAYA RÜYA, MARAS AHMET, SAHIN ERTAN, GÜLÇIN ILHAMI, GÖKSU </w:t>
            </w:r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SÜLEYMAN(</w:t>
            </w:r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characterization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novel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bromophenols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: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Determination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theiranticholinergic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antidiabetic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lastRenderedPageBreak/>
              <w:t>antioxidant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activities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Bioorganic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Chemistry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87, 91-102.,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: 10.1016/j.bioorg.2019.03.010</w:t>
            </w:r>
          </w:p>
        </w:tc>
        <w:tc>
          <w:tcPr>
            <w:tcW w:w="3827" w:type="dxa"/>
          </w:tcPr>
          <w:p w14:paraId="54A4707A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437BCF16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7FC465DD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2D6C2582" w14:textId="77777777" w:rsidTr="00A01175">
        <w:tc>
          <w:tcPr>
            <w:tcW w:w="456" w:type="dxa"/>
            <w:vAlign w:val="center"/>
          </w:tcPr>
          <w:p w14:paraId="005A8617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16</w:t>
            </w:r>
          </w:p>
        </w:tc>
        <w:tc>
          <w:tcPr>
            <w:tcW w:w="4359" w:type="dxa"/>
          </w:tcPr>
          <w:p w14:paraId="2BD6E30B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ILHAMI,ALGÜL</w:t>
            </w:r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 ÖZTEKIN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biological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evaluation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of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novel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tris-chalcones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aspotent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carbonic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anhydrase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acetylcholinesterase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butyrylcholinesterase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?</w:t>
            </w:r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>-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glycosidaseinhibitors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Bioorganic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Chemistry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85, 191-197.,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: 10.1016/j.bioorg.2018.12.035</w:t>
            </w:r>
          </w:p>
        </w:tc>
        <w:tc>
          <w:tcPr>
            <w:tcW w:w="3827" w:type="dxa"/>
          </w:tcPr>
          <w:p w14:paraId="6DD0E9CC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02A6264F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3B184718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7A5185E7" w14:textId="77777777" w:rsidTr="00A01175">
        <w:tc>
          <w:tcPr>
            <w:tcW w:w="456" w:type="dxa"/>
            <w:vAlign w:val="center"/>
          </w:tcPr>
          <w:p w14:paraId="28E7C924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17</w:t>
            </w:r>
          </w:p>
        </w:tc>
        <w:tc>
          <w:tcPr>
            <w:tcW w:w="4359" w:type="dxa"/>
          </w:tcPr>
          <w:p w14:paraId="5F1C268B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AKTAS AYDIN, BARUT CELEPCI DUYGU, KAYA RÜYA, TASLIMI PARHAM, GÖK YETKIN, AYGÜN MUHITTIN, GÜLÇIN ILHAMI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Novel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morpholine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liganded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Pd-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based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N-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heterocyclic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carbenecomplexes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: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Synthesis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characterization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crystalstructure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antidiabetic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anticholinergicproperties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Polyhedron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159, 345-354.,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: 10.1016/j.poly.2018.11.048 </w:t>
            </w:r>
          </w:p>
        </w:tc>
        <w:tc>
          <w:tcPr>
            <w:tcW w:w="3827" w:type="dxa"/>
          </w:tcPr>
          <w:p w14:paraId="55FF92BD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48AD3A3F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38A057B5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  <w:tr w:rsidR="007E5D6A" w:rsidRPr="00F94167" w14:paraId="0E4EB7D8" w14:textId="77777777" w:rsidTr="00A01175">
        <w:tc>
          <w:tcPr>
            <w:tcW w:w="456" w:type="dxa"/>
            <w:vAlign w:val="center"/>
          </w:tcPr>
          <w:p w14:paraId="248AF63E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18</w:t>
            </w:r>
          </w:p>
        </w:tc>
        <w:tc>
          <w:tcPr>
            <w:tcW w:w="4359" w:type="dxa"/>
          </w:tcPr>
          <w:p w14:paraId="02155DCD" w14:textId="77777777" w:rsidR="007E5D6A" w:rsidRPr="00F94167" w:rsidRDefault="007E5D6A" w:rsidP="00A011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rFonts w:eastAsia="Calibri"/>
                <w:szCs w:val="24"/>
                <w:lang w:val="tr-TR" w:eastAsia="en-US"/>
              </w:rPr>
              <w:t xml:space="preserve">ATAKISI ONUR, YILDIZ DALGINLI KEZBAN, GÜLMEZ </w:t>
            </w:r>
            <w:proofErr w:type="gramStart"/>
            <w:r w:rsidRPr="00F94167">
              <w:rPr>
                <w:rFonts w:eastAsia="Calibri"/>
                <w:szCs w:val="24"/>
                <w:lang w:val="tr-TR" w:eastAsia="en-US"/>
              </w:rPr>
              <w:t>CANAN,KAYA</w:t>
            </w:r>
            <w:proofErr w:type="gramEnd"/>
            <w:r w:rsidRPr="00F94167">
              <w:rPr>
                <w:rFonts w:eastAsia="Calibri"/>
                <w:szCs w:val="24"/>
                <w:lang w:val="tr-TR" w:eastAsia="en-US"/>
              </w:rPr>
              <w:t xml:space="preserve"> RÜYA, ÖZDEN ÖZKAN, KARTASIM, ATAKISI EMINE (2019).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Boric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acid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Borax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Supplementation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Reduces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Weight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Gain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inoverweight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Rats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Alter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L-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Carnitine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IGF-I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Levels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. International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lastRenderedPageBreak/>
              <w:t>Journal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for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Vitamin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andNutrition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Research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 xml:space="preserve">, 89(7), 1-7., </w:t>
            </w:r>
            <w:proofErr w:type="spellStart"/>
            <w:r w:rsidRPr="00F94167">
              <w:rPr>
                <w:rFonts w:eastAsia="Calibri"/>
                <w:szCs w:val="24"/>
                <w:lang w:val="tr-TR" w:eastAsia="en-US"/>
              </w:rPr>
              <w:t>Doi</w:t>
            </w:r>
            <w:proofErr w:type="spellEnd"/>
            <w:r w:rsidRPr="00F94167">
              <w:rPr>
                <w:rFonts w:eastAsia="Calibri"/>
                <w:szCs w:val="24"/>
                <w:lang w:val="tr-TR" w:eastAsia="en-US"/>
              </w:rPr>
              <w:t>: 10.1024/0300-9831/a000518</w:t>
            </w:r>
          </w:p>
        </w:tc>
        <w:tc>
          <w:tcPr>
            <w:tcW w:w="3827" w:type="dxa"/>
          </w:tcPr>
          <w:p w14:paraId="08BC3A92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381FB641" w14:textId="77777777" w:rsidR="007E5D6A" w:rsidRPr="00F94167" w:rsidRDefault="007E5D6A" w:rsidP="00A01175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339FA376" w14:textId="77777777" w:rsidR="007E5D6A" w:rsidRPr="00F94167" w:rsidRDefault="007E5D6A" w:rsidP="00A01175">
            <w:pPr>
              <w:rPr>
                <w:szCs w:val="24"/>
              </w:rPr>
            </w:pPr>
          </w:p>
        </w:tc>
      </w:tr>
    </w:tbl>
    <w:p w14:paraId="7AEDAA81" w14:textId="77777777" w:rsidR="002E35E9" w:rsidRDefault="002E35E9"/>
    <w:sectPr w:rsidR="002E35E9" w:rsidSect="00846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FE"/>
    <w:rsid w:val="002E35E9"/>
    <w:rsid w:val="007E5D6A"/>
    <w:rsid w:val="00846B30"/>
    <w:rsid w:val="00B2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5981"/>
  <w15:chartTrackingRefBased/>
  <w15:docId w15:val="{9D46AA21-273B-44BE-9056-C617B4BE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DILRUBA TABAY</dc:creator>
  <cp:keywords/>
  <dc:description/>
  <cp:lastModifiedBy>DILRUBA TABAY</cp:lastModifiedBy>
  <cp:revision>3</cp:revision>
  <dcterms:created xsi:type="dcterms:W3CDTF">2022-01-11T12:34:00Z</dcterms:created>
  <dcterms:modified xsi:type="dcterms:W3CDTF">2022-01-11T12:37:00Z</dcterms:modified>
</cp:coreProperties>
</file>